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jc w:val="center"/>
        <w:rPr>
          <w:rStyle w:val="7"/>
          <w:rFonts w:ascii="方正小标宋简体" w:hAnsi="方正小标宋简体" w:eastAsia="方正小标宋简体"/>
          <w:b w:val="0"/>
          <w:bCs w:val="0"/>
          <w:sz w:val="44"/>
          <w:szCs w:val="44"/>
        </w:rPr>
      </w:pPr>
      <w:r>
        <w:rPr>
          <w:rStyle w:val="7"/>
          <w:rFonts w:hint="eastAsia" w:ascii="方正小标宋简体" w:hAnsi="方正小标宋简体" w:eastAsia="方正小标宋简体"/>
          <w:b w:val="0"/>
          <w:bCs w:val="0"/>
          <w:sz w:val="44"/>
          <w:szCs w:val="44"/>
        </w:rPr>
        <w:t>海南省三亚技师学院就业补助资金项目</w:t>
      </w:r>
    </w:p>
    <w:p>
      <w:pPr>
        <w:pStyle w:val="4"/>
        <w:snapToGrid w:val="0"/>
        <w:spacing w:before="0" w:beforeAutospacing="0" w:after="480" w:afterLines="200" w:afterAutospacing="0"/>
        <w:jc w:val="center"/>
        <w:rPr>
          <w:rStyle w:val="7"/>
          <w:rFonts w:ascii="方正小标宋简体" w:hAnsi="方正小标宋简体" w:eastAsia="方正小标宋简体"/>
          <w:b w:val="0"/>
          <w:bCs w:val="0"/>
          <w:sz w:val="44"/>
          <w:szCs w:val="44"/>
        </w:rPr>
      </w:pPr>
      <w:r>
        <w:rPr>
          <w:rStyle w:val="7"/>
          <w:rFonts w:hint="eastAsia" w:ascii="方正小标宋简体" w:hAnsi="方正小标宋简体" w:eastAsia="方正小标宋简体"/>
          <w:b w:val="0"/>
          <w:bCs w:val="0"/>
          <w:sz w:val="44"/>
          <w:szCs w:val="44"/>
        </w:rPr>
        <w:t xml:space="preserve">支出绩效自评报告 </w:t>
      </w:r>
    </w:p>
    <w:p>
      <w:pPr>
        <w:pStyle w:val="4"/>
        <w:adjustRightInd w:val="0"/>
        <w:snapToGrid w:val="0"/>
        <w:spacing w:before="0" w:beforeAutospacing="0" w:after="0" w:afterAutospacing="0" w:line="560" w:lineRule="exact"/>
        <w:ind w:firstLine="640" w:firstLineChars="200"/>
        <w:rPr>
          <w:rFonts w:hint="eastAsia" w:ascii="黑体" w:hAnsi="黑体" w:eastAsia="黑体"/>
          <w:sz w:val="32"/>
          <w:szCs w:val="32"/>
        </w:rPr>
      </w:pPr>
      <w:r>
        <w:rPr>
          <w:rFonts w:hint="eastAsia" w:ascii="黑体" w:hAnsi="黑体" w:eastAsia="黑体"/>
          <w:sz w:val="32"/>
          <w:szCs w:val="32"/>
        </w:rPr>
        <w:t>一、项目概况</w:t>
      </w:r>
    </w:p>
    <w:p>
      <w:pPr>
        <w:pStyle w:val="4"/>
        <w:adjustRightInd w:val="0"/>
        <w:snapToGrid w:val="0"/>
        <w:spacing w:before="0" w:beforeAutospacing="0" w:after="0" w:afterAutospacing="0" w:line="560" w:lineRule="exact"/>
        <w:ind w:firstLine="640" w:firstLineChars="200"/>
        <w:rPr>
          <w:rFonts w:hint="eastAsia" w:ascii="楷体" w:hAnsi="楷体" w:eastAsia="楷体"/>
          <w:sz w:val="32"/>
          <w:szCs w:val="32"/>
        </w:rPr>
      </w:pPr>
      <w:r>
        <w:rPr>
          <w:rFonts w:hint="eastAsia" w:ascii="楷体" w:hAnsi="楷体" w:eastAsia="楷体"/>
          <w:sz w:val="32"/>
          <w:szCs w:val="32"/>
        </w:rPr>
        <w:t>（一）项目基本情况</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海南省三亚技师学院（海南省三亚高级技工学校、海南三亚中等职业技术学校）隶属于海南省人力资源和社会保障厅，是从事技能教育，以培养高技能人才为主的技工院校。职业技能竞赛经费项目资金用于师生参加包括世界技能大赛（World Skills Competition，WSC）中国选拔赛和新职业技术技能大赛在内的一类、二类职业技能竞赛。其中，世界技能大赛是迄今全球地位最高、规模最大、影响力最大的职业技能竞赛，被誉为“世界技能奥林匹克”；新职业技术技能大赛是深化“技能人才”建设的重要举措，在推动新产业发展、拓展就业空间的具有重要引领作用。重点支持项目包括美发、烘焙、车身修理、网站设计与开发、电气装置、移动机器人、光电技术、工业机器人系统操作员、电工、农机修理工、电子商务师、餐厅服务等项目。</w:t>
      </w:r>
    </w:p>
    <w:p>
      <w:pPr>
        <w:pStyle w:val="4"/>
        <w:adjustRightInd w:val="0"/>
        <w:snapToGrid w:val="0"/>
        <w:spacing w:before="0" w:beforeAutospacing="0" w:after="0" w:afterAutospacing="0" w:line="560" w:lineRule="exact"/>
        <w:ind w:firstLine="640" w:firstLineChars="200"/>
        <w:rPr>
          <w:rFonts w:hint="eastAsia" w:ascii="楷体" w:hAnsi="楷体" w:eastAsia="楷体"/>
          <w:sz w:val="32"/>
          <w:szCs w:val="32"/>
        </w:rPr>
      </w:pPr>
      <w:r>
        <w:rPr>
          <w:rFonts w:hint="eastAsia" w:ascii="楷体" w:hAnsi="楷体" w:eastAsia="楷体"/>
          <w:sz w:val="32"/>
          <w:szCs w:val="32"/>
        </w:rPr>
        <w:t>（二）项目年度预算绩效目标和绩效指标设定情况</w:t>
      </w:r>
      <w:r>
        <w:rPr>
          <w:rFonts w:ascii="Calibri" w:hAnsi="Calibri" w:eastAsia="楷体" w:cs="Calibri"/>
          <w:sz w:val="32"/>
          <w:szCs w:val="32"/>
        </w:rPr>
        <w:t> </w:t>
      </w:r>
      <w:r>
        <w:rPr>
          <w:rFonts w:hint="eastAsia" w:ascii="楷体" w:hAnsi="楷体" w:eastAsia="楷体"/>
          <w:sz w:val="32"/>
          <w:szCs w:val="32"/>
        </w:rPr>
        <w:t xml:space="preserve"> </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该项目主要用于世界技能大赛及其他竞赛专用设备、专用材料、专家劳务费、培训费及外出训练差旅费等费用。当年预算重点支持的美发、烘焙、车身修理、网站设计与开发、电气装置、移动机器人、光电技术、工业机器人系统操作员、电工、农机修理工、电子商务师、餐厅服务等12个竞赛项目中，除去车身修理、电气装置、烘焙3个竞赛项目，其余9个竞赛项目均</w:t>
      </w:r>
      <w:r>
        <w:rPr>
          <w:rFonts w:hint="eastAsia" w:ascii="仿宋" w:hAnsi="仿宋" w:eastAsia="仿宋"/>
          <w:sz w:val="32"/>
          <w:szCs w:val="32"/>
          <w:lang w:val="en-US" w:eastAsia="zh-CN"/>
        </w:rPr>
        <w:t>已</w:t>
      </w:r>
      <w:r>
        <w:rPr>
          <w:rFonts w:hint="eastAsia" w:ascii="仿宋" w:hAnsi="仿宋" w:eastAsia="仿宋"/>
          <w:sz w:val="32"/>
          <w:szCs w:val="32"/>
        </w:rPr>
        <w:t>完成专用设备和专用材料购置</w:t>
      </w:r>
      <w:r>
        <w:rPr>
          <w:rFonts w:hint="eastAsia" w:ascii="仿宋" w:hAnsi="仿宋" w:eastAsia="仿宋"/>
          <w:sz w:val="32"/>
          <w:szCs w:val="32"/>
          <w:lang w:val="en-US" w:eastAsia="zh-CN"/>
        </w:rPr>
        <w:t>以及相关的专家劳务费、外出训练差旅费训练师生误餐费等相关费用的支出</w:t>
      </w:r>
      <w:r>
        <w:rPr>
          <w:rFonts w:hint="eastAsia" w:ascii="仿宋" w:hAnsi="仿宋" w:eastAsia="仿宋"/>
          <w:sz w:val="32"/>
          <w:szCs w:val="32"/>
        </w:rPr>
        <w:t>。</w:t>
      </w:r>
      <w:r>
        <w:rPr>
          <w:rFonts w:hint="eastAsia" w:ascii="仿宋" w:hAnsi="仿宋" w:eastAsia="仿宋"/>
          <w:sz w:val="32"/>
          <w:szCs w:val="32"/>
          <w:lang w:val="en-US" w:eastAsia="zh-CN"/>
        </w:rPr>
        <w:t xml:space="preserve">同时完成电子竞技专业建设项目的场地装修以及设备采购。   </w:t>
      </w:r>
    </w:p>
    <w:p>
      <w:pPr>
        <w:pStyle w:val="4"/>
        <w:adjustRightInd w:val="0"/>
        <w:snapToGrid w:val="0"/>
        <w:spacing w:before="0" w:beforeAutospacing="0" w:after="0" w:afterAutospacing="0" w:line="560" w:lineRule="exact"/>
        <w:ind w:firstLine="640" w:firstLineChars="200"/>
        <w:rPr>
          <w:rFonts w:hint="eastAsia" w:ascii="黑体" w:hAnsi="黑体" w:eastAsia="黑体"/>
          <w:sz w:val="32"/>
          <w:szCs w:val="32"/>
        </w:rPr>
      </w:pPr>
      <w:r>
        <w:rPr>
          <w:rFonts w:hint="eastAsia" w:ascii="黑体" w:hAnsi="黑体" w:eastAsia="黑体"/>
          <w:sz w:val="32"/>
          <w:szCs w:val="32"/>
        </w:rPr>
        <w:t>二、项目决策及资金使用管理情况</w:t>
      </w:r>
    </w:p>
    <w:p>
      <w:pPr>
        <w:pStyle w:val="4"/>
        <w:adjustRightInd w:val="0"/>
        <w:snapToGrid w:val="0"/>
        <w:spacing w:before="0" w:beforeAutospacing="0" w:after="0" w:afterAutospacing="0"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（一）项目决策情况</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该项目由各专业组根据竞赛需求，向学院竞赛中心提交预算，竞赛中心统一立项，通过学院党政联席会决议后，向海南省人力资源和社会保障厅</w:t>
      </w:r>
      <w:r>
        <w:rPr>
          <w:rFonts w:hint="eastAsia" w:ascii="仿宋" w:hAnsi="仿宋" w:eastAsia="仿宋"/>
          <w:sz w:val="32"/>
          <w:szCs w:val="32"/>
          <w:lang w:val="en-US" w:eastAsia="zh-CN"/>
        </w:rPr>
        <w:t>申请</w:t>
      </w:r>
      <w:r>
        <w:rPr>
          <w:rFonts w:hint="eastAsia" w:ascii="仿宋" w:hAnsi="仿宋" w:eastAsia="仿宋"/>
          <w:sz w:val="32"/>
          <w:szCs w:val="32"/>
        </w:rPr>
        <w:t>，</w:t>
      </w:r>
      <w:r>
        <w:rPr>
          <w:rFonts w:hint="eastAsia" w:ascii="仿宋" w:hAnsi="仿宋" w:eastAsia="仿宋"/>
          <w:sz w:val="32"/>
          <w:szCs w:val="32"/>
          <w:lang w:val="en-US" w:eastAsia="zh-CN"/>
        </w:rPr>
        <w:t>经过审核同意后，学院统一纳入预算管理一体化系统申报</w:t>
      </w:r>
      <w:r>
        <w:rPr>
          <w:rFonts w:hint="eastAsia" w:ascii="仿宋" w:hAnsi="仿宋" w:eastAsia="仿宋"/>
          <w:sz w:val="32"/>
          <w:szCs w:val="32"/>
        </w:rPr>
        <w:t>。</w:t>
      </w:r>
    </w:p>
    <w:p>
      <w:pPr>
        <w:pStyle w:val="4"/>
        <w:numPr>
          <w:ilvl w:val="0"/>
          <w:numId w:val="1"/>
        </w:numPr>
        <w:adjustRightInd w:val="0"/>
        <w:snapToGrid w:val="0"/>
        <w:spacing w:before="0" w:beforeAutospacing="0" w:after="0" w:afterAutospacing="0" w:line="560" w:lineRule="exact"/>
        <w:ind w:firstLine="643" w:firstLineChars="200"/>
        <w:rPr>
          <w:rFonts w:hint="eastAsia" w:ascii="仿宋" w:hAnsi="仿宋" w:eastAsia="仿宋"/>
          <w:b/>
          <w:bCs/>
          <w:color w:val="auto"/>
          <w:sz w:val="32"/>
          <w:szCs w:val="32"/>
        </w:rPr>
      </w:pPr>
      <w:r>
        <w:rPr>
          <w:rFonts w:hint="eastAsia" w:ascii="仿宋" w:hAnsi="仿宋" w:eastAsia="仿宋"/>
          <w:b/>
          <w:bCs/>
          <w:color w:val="auto"/>
          <w:sz w:val="32"/>
          <w:szCs w:val="32"/>
        </w:rPr>
        <w:t>项目资金安排落实、总投入等情况</w:t>
      </w:r>
    </w:p>
    <w:p>
      <w:pPr>
        <w:pStyle w:val="4"/>
        <w:adjustRightInd w:val="0"/>
        <w:snapToGrid w:val="0"/>
        <w:spacing w:before="0" w:beforeAutospacing="0" w:after="0" w:afterAutospacing="0" w:line="560" w:lineRule="exact"/>
        <w:ind w:firstLine="640" w:firstLineChars="200"/>
        <w:rPr>
          <w:rFonts w:hint="default" w:ascii="仿宋" w:hAnsi="仿宋" w:eastAsia="仿宋"/>
          <w:sz w:val="32"/>
          <w:szCs w:val="32"/>
          <w:lang w:val="en-US"/>
        </w:rPr>
      </w:pPr>
      <w:r>
        <w:rPr>
          <w:rFonts w:hint="eastAsia" w:ascii="仿宋" w:hAnsi="仿宋" w:eastAsia="仿宋"/>
          <w:sz w:val="32"/>
          <w:szCs w:val="32"/>
          <w:lang w:val="en-US" w:eastAsia="zh-CN"/>
        </w:rPr>
        <w:t xml:space="preserve"> </w:t>
      </w:r>
      <w:r>
        <w:rPr>
          <w:rFonts w:hint="eastAsia" w:ascii="仿宋" w:hAnsi="仿宋" w:eastAsia="仿宋"/>
          <w:sz w:val="32"/>
          <w:szCs w:val="32"/>
        </w:rPr>
        <w:t>全年</w:t>
      </w:r>
      <w:r>
        <w:rPr>
          <w:rFonts w:hint="eastAsia" w:ascii="仿宋" w:hAnsi="仿宋" w:eastAsia="仿宋"/>
          <w:sz w:val="32"/>
          <w:szCs w:val="32"/>
          <w:lang w:val="en-US" w:eastAsia="zh-CN"/>
        </w:rPr>
        <w:t>财政资金</w:t>
      </w:r>
      <w:r>
        <w:rPr>
          <w:rFonts w:hint="eastAsia" w:ascii="仿宋" w:hAnsi="仿宋" w:eastAsia="仿宋"/>
          <w:sz w:val="32"/>
          <w:szCs w:val="32"/>
        </w:rPr>
        <w:t>预算</w:t>
      </w:r>
      <w:r>
        <w:rPr>
          <w:rFonts w:hint="eastAsia" w:ascii="仿宋" w:hAnsi="仿宋" w:eastAsia="仿宋"/>
          <w:sz w:val="32"/>
          <w:szCs w:val="32"/>
          <w:lang w:val="en-US" w:eastAsia="zh-CN"/>
        </w:rPr>
        <w:t>批复</w:t>
      </w:r>
      <w:r>
        <w:rPr>
          <w:rFonts w:hint="eastAsia" w:ascii="仿宋" w:hAnsi="仿宋" w:eastAsia="仿宋"/>
          <w:sz w:val="32"/>
          <w:szCs w:val="32"/>
        </w:rPr>
        <w:t>数20500000元年</w:t>
      </w:r>
      <w:r>
        <w:rPr>
          <w:rFonts w:hint="eastAsia" w:ascii="仿宋" w:hAnsi="仿宋" w:eastAsia="仿宋"/>
          <w:sz w:val="32"/>
          <w:szCs w:val="32"/>
          <w:lang w:eastAsia="zh-CN"/>
        </w:rPr>
        <w:t>，</w:t>
      </w:r>
      <w:r>
        <w:rPr>
          <w:rFonts w:hint="eastAsia" w:ascii="仿宋" w:hAnsi="仿宋" w:eastAsia="仿宋"/>
          <w:sz w:val="32"/>
          <w:szCs w:val="32"/>
          <w:lang w:val="en-US" w:eastAsia="zh-CN"/>
        </w:rPr>
        <w:t>其中</w:t>
      </w:r>
      <w:r>
        <w:rPr>
          <w:rFonts w:hint="eastAsia" w:ascii="仿宋" w:hAnsi="仿宋" w:eastAsia="仿宋"/>
          <w:sz w:val="32"/>
          <w:szCs w:val="32"/>
        </w:rPr>
        <w:t>初预算</w:t>
      </w:r>
      <w:r>
        <w:rPr>
          <w:rFonts w:hint="eastAsia" w:ascii="仿宋" w:hAnsi="仿宋" w:eastAsia="仿宋"/>
          <w:sz w:val="32"/>
          <w:szCs w:val="32"/>
          <w:lang w:val="en-US" w:eastAsia="zh-CN"/>
        </w:rPr>
        <w:t>批复</w:t>
      </w:r>
      <w:r>
        <w:rPr>
          <w:rFonts w:hint="eastAsia" w:ascii="仿宋" w:hAnsi="仿宋" w:eastAsia="仿宋"/>
          <w:sz w:val="32"/>
          <w:szCs w:val="32"/>
        </w:rPr>
        <w:t>数19430000元，</w:t>
      </w:r>
      <w:r>
        <w:rPr>
          <w:rFonts w:hint="eastAsia" w:ascii="仿宋" w:hAnsi="仿宋" w:eastAsia="仿宋"/>
          <w:sz w:val="32"/>
          <w:szCs w:val="32"/>
          <w:lang w:val="en-US" w:eastAsia="zh-CN"/>
        </w:rPr>
        <w:t>主要用于保障各项竞赛项目需要。年中追加预算4570000元，用于建设</w:t>
      </w:r>
      <w:r>
        <w:rPr>
          <w:rFonts w:hint="eastAsia" w:ascii="仿宋" w:hAnsi="仿宋" w:eastAsia="仿宋"/>
          <w:sz w:val="32"/>
          <w:szCs w:val="32"/>
          <w:lang w:val="en-US" w:eastAsia="zh-CN"/>
        </w:rPr>
        <w:t>电子竞技专业建设项目；调出预算3500000元。</w:t>
      </w:r>
    </w:p>
    <w:p>
      <w:pPr>
        <w:pStyle w:val="4"/>
        <w:adjustRightInd w:val="0"/>
        <w:snapToGrid w:val="0"/>
        <w:spacing w:before="0" w:beforeAutospacing="0" w:after="0" w:afterAutospacing="0" w:line="560" w:lineRule="exact"/>
        <w:ind w:firstLine="643" w:firstLineChars="200"/>
        <w:rPr>
          <w:rFonts w:hint="eastAsia" w:ascii="仿宋" w:hAnsi="仿宋" w:eastAsia="仿宋"/>
          <w:b/>
          <w:bCs/>
          <w:color w:val="auto"/>
          <w:sz w:val="32"/>
          <w:szCs w:val="32"/>
        </w:rPr>
      </w:pPr>
      <w:r>
        <w:rPr>
          <w:rFonts w:hint="eastAsia" w:ascii="仿宋" w:hAnsi="仿宋" w:eastAsia="仿宋"/>
          <w:b/>
          <w:bCs/>
          <w:color w:val="auto"/>
          <w:sz w:val="32"/>
          <w:szCs w:val="32"/>
        </w:rPr>
        <w:t>（三）项目资金实际使用情况</w:t>
      </w:r>
    </w:p>
    <w:p>
      <w:pPr>
        <w:pStyle w:val="4"/>
        <w:adjustRightInd w:val="0"/>
        <w:snapToGrid w:val="0"/>
        <w:spacing w:before="0" w:beforeAutospacing="0" w:after="0" w:afterAutospacing="0"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全年财政资金执行数为15226847.27元，执行率74.28%元，其中专用设备购置支出10317200元，专用材料费支出2616000元，竞赛人员培训费1261800元、差旅费245700元、误餐费507500元，专家劳务费258800元，其他支出19900元。</w:t>
      </w:r>
    </w:p>
    <w:p>
      <w:pPr>
        <w:pStyle w:val="4"/>
        <w:adjustRightInd w:val="0"/>
        <w:snapToGrid w:val="0"/>
        <w:spacing w:before="0" w:beforeAutospacing="0" w:after="0" w:afterAutospacing="0" w:line="560" w:lineRule="exact"/>
        <w:ind w:firstLine="640" w:firstLineChars="200"/>
        <w:rPr>
          <w:rFonts w:hint="eastAsia" w:ascii="黑体" w:hAnsi="黑体" w:eastAsia="黑体"/>
          <w:sz w:val="32"/>
          <w:szCs w:val="32"/>
        </w:rPr>
      </w:pPr>
      <w:r>
        <w:rPr>
          <w:rFonts w:hint="eastAsia" w:ascii="黑体" w:hAnsi="黑体" w:eastAsia="黑体"/>
          <w:sz w:val="32"/>
          <w:szCs w:val="32"/>
        </w:rPr>
        <w:t>三、项目组织实施情况</w:t>
      </w:r>
    </w:p>
    <w:p>
      <w:pPr>
        <w:pStyle w:val="4"/>
        <w:adjustRightInd w:val="0"/>
        <w:snapToGrid w:val="0"/>
        <w:spacing w:before="0" w:beforeAutospacing="0" w:after="0" w:afterAutospacing="0" w:line="560" w:lineRule="exact"/>
        <w:ind w:firstLine="640" w:firstLineChars="200"/>
        <w:rPr>
          <w:rFonts w:hint="eastAsia" w:ascii="楷体" w:hAnsi="楷体" w:eastAsia="楷体"/>
          <w:sz w:val="32"/>
          <w:szCs w:val="32"/>
        </w:rPr>
      </w:pPr>
      <w:r>
        <w:rPr>
          <w:rFonts w:hint="eastAsia" w:ascii="楷体" w:hAnsi="楷体" w:eastAsia="楷体"/>
          <w:sz w:val="32"/>
          <w:szCs w:val="32"/>
        </w:rPr>
        <w:t>（一）项目组织情况</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为用好职业技能竞赛经费项目，学校包括财务资产科、总务科集采中心、竞赛中心等相关部门共同推进项目支出。学校集采中心对项目中涉及设备、耗材按照既定工作流程开展公开招投标，财务资产科确保及时拨付项目经费，保证项目顺利开展。对因赛项变化导致的经费项目调整，数额较大的则按照规定由学校技能竞赛管理中心对项目进行论证并提出申请，经学院党政联席会决议后，再走采购流程。项目的顺利开展，</w:t>
      </w:r>
      <w:r>
        <w:rPr>
          <w:rFonts w:hint="eastAsia" w:ascii="仿宋" w:hAnsi="仿宋" w:eastAsia="仿宋"/>
          <w:sz w:val="32"/>
          <w:szCs w:val="32"/>
          <w:lang w:val="en-US" w:eastAsia="zh-CN"/>
        </w:rPr>
        <w:t>有利</w:t>
      </w:r>
      <w:r>
        <w:rPr>
          <w:rFonts w:hint="eastAsia" w:ascii="仿宋" w:hAnsi="仿宋" w:eastAsia="仿宋"/>
          <w:sz w:val="32"/>
          <w:szCs w:val="32"/>
        </w:rPr>
        <w:t>于竞赛资金的保障和竞赛场地和设备的保障, 在学校营造初浓厚的大赛氛围, 引起了良好反响。</w:t>
      </w:r>
    </w:p>
    <w:p>
      <w:pPr>
        <w:pStyle w:val="4"/>
        <w:adjustRightInd w:val="0"/>
        <w:snapToGrid w:val="0"/>
        <w:spacing w:before="0" w:beforeAutospacing="0" w:after="0" w:afterAutospacing="0" w:line="560" w:lineRule="exact"/>
        <w:ind w:firstLine="640" w:firstLineChars="200"/>
        <w:rPr>
          <w:rFonts w:ascii="楷体" w:hAnsi="楷体" w:eastAsia="楷体"/>
          <w:sz w:val="32"/>
          <w:szCs w:val="32"/>
        </w:rPr>
      </w:pPr>
      <w:r>
        <w:rPr>
          <w:rFonts w:hint="eastAsia" w:ascii="楷体" w:hAnsi="楷体" w:eastAsia="楷体"/>
          <w:sz w:val="32"/>
          <w:szCs w:val="32"/>
        </w:rPr>
        <w:t>（二）项目管理情况</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在项目推进过程中，学校各部门严守制度底线，严格执行国家，尤其是海南省人社厅关于项目经费的使用方针政策，根据上级相关文件、制度，制定并完善我院技能竞赛的相关管理办法和流程。秉持科学严谨和为学生负责的态度，目前正在制定《海南省三亚技师学院技能竞赛管理办法》，由专人负责、专款专用，落实各项工作责任到人，切实发挥项目经费的促进保障作用。</w:t>
      </w:r>
    </w:p>
    <w:p>
      <w:pPr>
        <w:pStyle w:val="4"/>
        <w:adjustRightInd w:val="0"/>
        <w:snapToGrid w:val="0"/>
        <w:spacing w:before="0" w:beforeAutospacing="0" w:after="0" w:afterAutospacing="0" w:line="560" w:lineRule="exact"/>
        <w:ind w:firstLine="640" w:firstLineChars="200"/>
        <w:rPr>
          <w:rFonts w:hint="eastAsia" w:ascii="黑体" w:hAnsi="黑体" w:eastAsia="黑体"/>
          <w:sz w:val="32"/>
          <w:szCs w:val="32"/>
        </w:rPr>
      </w:pPr>
      <w:r>
        <w:rPr>
          <w:rFonts w:hint="eastAsia" w:ascii="黑体" w:hAnsi="黑体" w:eastAsia="黑体"/>
          <w:sz w:val="32"/>
          <w:szCs w:val="32"/>
        </w:rPr>
        <w:t>四、项目绩效情况</w:t>
      </w:r>
    </w:p>
    <w:p>
      <w:pPr>
        <w:pStyle w:val="4"/>
        <w:adjustRightInd w:val="0"/>
        <w:snapToGrid w:val="0"/>
        <w:spacing w:before="0" w:beforeAutospacing="0" w:after="0" w:afterAutospacing="0" w:line="560" w:lineRule="exact"/>
        <w:ind w:firstLine="640" w:firstLineChars="200"/>
        <w:rPr>
          <w:rFonts w:ascii="楷体" w:hAnsi="楷体" w:eastAsia="楷体"/>
          <w:sz w:val="32"/>
          <w:szCs w:val="32"/>
        </w:rPr>
      </w:pPr>
      <w:r>
        <w:rPr>
          <w:rFonts w:hint="eastAsia" w:ascii="楷体" w:hAnsi="楷体" w:eastAsia="楷体"/>
          <w:sz w:val="32"/>
          <w:szCs w:val="32"/>
        </w:rPr>
        <w:t>（一）项目绩效目标完成情况。</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将项目实际完成情况与申报的绩效目标对比，从项目的经济性、效率性、有效性和可持续性等方面对项目绩效进行量化、具体分析。</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1.项目的经济性。项目启动后，我院根据项目成本变化实行事前控制、事中监督和事后控制，实现原定目标。各个竞赛项目经系部研究后，向学校技竞中心提出立项，并成立教练团队本着节约和提升资金使用效率的原则对项目经费使用做出规划并编制初步预算。技竞中心在全校范围内，结合各项目开展情况对预算进行合理调配。经费经第三方评审后方可使用。技竞中心安排专人对项目的设备、耗材建立台账进行管理、监督。</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2.项目的效率性。为实现项目的效率性，我院认真学习研究“财政部 人力资源社会保障部关于印发《就业补助资金管理办法》的通知”的相关政策规定，熟悉资金补助程序，设立专门机构和配备专职人员具体负责本资金的管理工作，落实责任到人，保障每一笔资金均用在刀尖刀刃上。</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3.项目的有效性。技能大赛是培养和发现技能人才的有效途径，以赛促学，以赛促教，定期举办技能大赛，对促进学生技能教育又好又快发展有着十分重要的意义。让技能竞赛融入校园，融入社会，提升学生、教师及社会人员整体技能水平，以技能回馈社会、为自贸港建设添砖加瓦。学院方面：做到合理使用补助资金，不虚报乱报补助资金以及挤占、挪用、滞留补助资金等行为，制定并完善相关监管机制。2022年教师参加国家技能大赛获得二等奖1项、在省级技能大赛中获得金奖3项、银奖2项、铜奖2项，优胜奖7项。组织学生参加国家技能大赛获得金奖2项、铜奖2项、二等奖2项、省级技能大赛中获得金奖2项、银奖1项、铜奖2张、优胜奖17项。</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4.项目的可持续性。本项目编入部门预算，每年根据学院参与的技能大赛项目申报金额。另外由技能竞赛管理中心负责牵头，各系部根据所报内容完成该项目，保证项目的稳定性、持续性。</w:t>
      </w:r>
    </w:p>
    <w:p>
      <w:pPr>
        <w:pStyle w:val="4"/>
        <w:adjustRightInd w:val="0"/>
        <w:snapToGrid w:val="0"/>
        <w:spacing w:before="0" w:beforeAutospacing="0" w:after="0" w:afterAutospacing="0" w:line="560" w:lineRule="exact"/>
        <w:ind w:firstLine="640" w:firstLineChars="200"/>
        <w:rPr>
          <w:rFonts w:hint="eastAsia" w:ascii="楷体" w:hAnsi="楷体" w:eastAsia="楷体"/>
          <w:sz w:val="32"/>
          <w:szCs w:val="32"/>
        </w:rPr>
      </w:pPr>
      <w:r>
        <w:rPr>
          <w:rFonts w:hint="eastAsia" w:ascii="楷体" w:hAnsi="楷体" w:eastAsia="楷体"/>
          <w:sz w:val="32"/>
          <w:szCs w:val="32"/>
        </w:rPr>
        <w:t>（二）项目绩效目标未完成情况及原因分析</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当年预算重点支持的美发、烘焙、车身修理、网站设计与开发、电气装置、移动机器人、光电技术、工业机器人系统操作员、电工、农机修理工、电子商务师、餐厅服务等12个竞赛项目中，车身修理、电气装置、烘焙3个竞赛项目未完成资金支付。专家劳务、培训费及外出训练差率费未完成支付。</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主要原因是受到政府疫情管控措施影响，导致相关项目的采购活动被迫中止，采购日期不断延后。在设备、耗材交付不到位的情况下，学校无法进行项目验收和资金支付。同样原因，既定的人员外出、专家聘请等交流活动也无法如期开展，最终导致相关费用未在年度内完成支付。</w:t>
      </w:r>
    </w:p>
    <w:p>
      <w:pPr>
        <w:pStyle w:val="4"/>
        <w:adjustRightInd w:val="0"/>
        <w:snapToGrid w:val="0"/>
        <w:spacing w:before="0" w:beforeAutospacing="0" w:after="0" w:afterAutospacing="0" w:line="560" w:lineRule="exact"/>
        <w:ind w:firstLine="640" w:firstLineChars="200"/>
        <w:rPr>
          <w:rFonts w:hint="eastAsia" w:ascii="黑体" w:hAnsi="黑体" w:eastAsia="黑体"/>
          <w:sz w:val="32"/>
          <w:szCs w:val="32"/>
        </w:rPr>
      </w:pPr>
      <w:r>
        <w:rPr>
          <w:rFonts w:hint="eastAsia" w:ascii="黑体" w:hAnsi="黑体" w:eastAsia="黑体"/>
          <w:sz w:val="32"/>
          <w:szCs w:val="32"/>
        </w:rPr>
        <w:t>五、其他需要说明的问题</w:t>
      </w:r>
    </w:p>
    <w:p>
      <w:pPr>
        <w:pStyle w:val="4"/>
        <w:adjustRightInd w:val="0"/>
        <w:snapToGrid w:val="0"/>
        <w:spacing w:before="0" w:beforeAutospacing="0" w:after="0" w:afterAutospacing="0" w:line="560" w:lineRule="exact"/>
        <w:ind w:firstLine="640" w:firstLineChars="200"/>
        <w:rPr>
          <w:rFonts w:hint="eastAsia" w:ascii="楷体" w:hAnsi="楷体" w:eastAsia="楷体"/>
          <w:sz w:val="32"/>
          <w:szCs w:val="32"/>
        </w:rPr>
      </w:pPr>
      <w:r>
        <w:rPr>
          <w:rFonts w:hint="eastAsia" w:ascii="楷体" w:hAnsi="楷体" w:eastAsia="楷体"/>
          <w:sz w:val="32"/>
          <w:szCs w:val="32"/>
        </w:rPr>
        <w:t>（一）后续工作计划</w:t>
      </w:r>
    </w:p>
    <w:p>
      <w:pPr>
        <w:pStyle w:val="4"/>
        <w:adjustRightInd w:val="0"/>
        <w:snapToGrid w:val="0"/>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尽管受到疫情影响，学校在技能竞赛工作方面仍然顶住压力，取得了一定成绩。接下来，学校将继续围绕“以赛促学,以赛促教,以赛促改”的目标，持续推进技能竞赛工作，重点对在竞赛过程中涌现出来的优秀老师、教练、参赛选手的先进事迹进行宣传，对竞赛中取得的优异成果进行广泛推广，使学校的技能竞赛工作步入新高度，促进学校人才培养工作在上新台阶。</w:t>
      </w:r>
    </w:p>
    <w:p>
      <w:pPr>
        <w:pStyle w:val="4"/>
        <w:adjustRightInd w:val="0"/>
        <w:snapToGrid w:val="0"/>
        <w:spacing w:before="0" w:beforeAutospacing="0" w:after="0" w:afterAutospacing="0" w:line="560" w:lineRule="exact"/>
        <w:ind w:firstLine="640" w:firstLineChars="200"/>
        <w:rPr>
          <w:rFonts w:hint="eastAsia" w:ascii="楷体" w:hAnsi="楷体" w:eastAsia="楷体"/>
          <w:sz w:val="32"/>
          <w:szCs w:val="32"/>
        </w:rPr>
      </w:pPr>
      <w:r>
        <w:rPr>
          <w:rFonts w:hint="eastAsia" w:ascii="楷体" w:hAnsi="楷体" w:eastAsia="楷体"/>
          <w:sz w:val="32"/>
          <w:szCs w:val="32"/>
        </w:rPr>
        <w:t>（二）主要经验及做法、存在问题和建议</w:t>
      </w:r>
    </w:p>
    <w:p>
      <w:pPr>
        <w:pStyle w:val="4"/>
        <w:adjustRightInd w:val="0"/>
        <w:snapToGrid w:val="0"/>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为确保职业技能竞赛经费项目顺利推进，提高项目实施效率和保障项目质量，把控项目风险，我院积极落实上级指示，压实相关部门的责任。将项目推进划分为申报准备、项目启动、全面推进和评估验收四个阶段，明确每个阶段的目标和任务，如启动阶段要根据工作实施方案，组织招标、合作伙伴签约等事项，开展项目建设；全面推进阶段要全面开展2022-2023年度各级各类技能大赛项目建设内容等。</w:t>
      </w:r>
    </w:p>
    <w:p>
      <w:pPr>
        <w:pStyle w:val="4"/>
        <w:adjustRightInd w:val="0"/>
        <w:snapToGrid w:val="0"/>
        <w:spacing w:before="720" w:beforeLines="300" w:beforeAutospacing="0" w:after="0" w:afterAutospacing="0" w:line="560" w:lineRule="exact"/>
        <w:jc w:val="right"/>
        <w:rPr>
          <w:rFonts w:ascii="仿宋" w:hAnsi="仿宋" w:eastAsia="仿宋"/>
          <w:sz w:val="32"/>
          <w:szCs w:val="32"/>
        </w:rPr>
      </w:pPr>
      <w:r>
        <w:rPr>
          <w:rFonts w:hint="eastAsia" w:ascii="仿宋" w:hAnsi="仿宋" w:eastAsia="仿宋"/>
          <w:sz w:val="32"/>
          <w:szCs w:val="32"/>
        </w:rPr>
        <w:t>海南省三亚技师学院</w:t>
      </w:r>
    </w:p>
    <w:p>
      <w:pPr>
        <w:pStyle w:val="4"/>
        <w:adjustRightInd w:val="0"/>
        <w:snapToGrid w:val="0"/>
        <w:spacing w:before="0" w:beforeAutospacing="0" w:after="0" w:afterAutospacing="0" w:line="560" w:lineRule="exact"/>
        <w:jc w:val="right"/>
        <w:rPr>
          <w:rFonts w:hint="eastAsia" w:ascii="仿宋" w:hAnsi="仿宋" w:eastAsia="仿宋"/>
          <w:sz w:val="32"/>
          <w:szCs w:val="32"/>
        </w:rPr>
      </w:pPr>
      <w:r>
        <w:rPr>
          <w:rFonts w:ascii="仿宋" w:hAnsi="仿宋" w:eastAsia="仿宋"/>
          <w:sz w:val="32"/>
          <w:szCs w:val="32"/>
        </w:rPr>
        <w:t>2023年5月</w:t>
      </w:r>
      <w:r>
        <w:rPr>
          <w:rFonts w:hint="eastAsia" w:ascii="仿宋" w:hAnsi="仿宋" w:eastAsia="仿宋"/>
          <w:sz w:val="32"/>
          <w:szCs w:val="32"/>
          <w:lang w:val="en-US" w:eastAsia="zh-CN"/>
        </w:rPr>
        <w:t>31</w:t>
      </w:r>
      <w:bookmarkStart w:id="0" w:name="_GoBack"/>
      <w:bookmarkEnd w:id="0"/>
      <w:r>
        <w:rPr>
          <w:rFonts w:ascii="仿宋" w:hAnsi="仿宋" w:eastAsia="仿宋"/>
          <w:sz w:val="32"/>
          <w:szCs w:val="32"/>
        </w:rPr>
        <w:t>日</w:t>
      </w:r>
    </w:p>
    <w:sectPr>
      <w:headerReference r:id="rId3" w:type="default"/>
      <w:footerReference r:id="rId4" w:type="default"/>
      <w:pgSz w:w="11906" w:h="16838"/>
      <w:pgMar w:top="1440" w:right="1800" w:bottom="1440" w:left="1800" w:header="851" w:footer="624"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973264"/>
      <w:docPartObj>
        <w:docPartGallery w:val="autotext"/>
      </w:docPartObj>
    </w:sdtPr>
    <w:sdtEndPr>
      <w:rPr>
        <w:sz w:val="28"/>
      </w:rPr>
    </w:sdtEndPr>
    <w:sdtContent>
      <w:p>
        <w:pPr>
          <w:pStyle w:val="2"/>
          <w:jc w:val="center"/>
          <w:rPr>
            <w:sz w:val="28"/>
          </w:rPr>
        </w:pPr>
        <w:r>
          <w:rPr>
            <w:sz w:val="28"/>
          </w:rPr>
          <w:fldChar w:fldCharType="begin"/>
        </w:r>
        <w:r>
          <w:rPr>
            <w:sz w:val="28"/>
          </w:rPr>
          <w:instrText xml:space="preserve">PAGE   \* MERGEFORMAT</w:instrText>
        </w:r>
        <w:r>
          <w:rPr>
            <w:sz w:val="28"/>
          </w:rPr>
          <w:fldChar w:fldCharType="separate"/>
        </w:r>
        <w:r>
          <w:rPr>
            <w:sz w:val="28"/>
            <w:lang w:val="zh-CN"/>
          </w:rPr>
          <w:t>2</w:t>
        </w:r>
        <w:r>
          <w:rPr>
            <w:sz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03CC9"/>
    <w:multiLevelType w:val="singleLevel"/>
    <w:tmpl w:val="D7B03C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docVars>
    <w:docVar w:name="commondata" w:val="eyJoZGlkIjoiMTg1NmJkNGJmYmY2NGEyMDE2ZjA0NzAwYzFjZmQ1OTAifQ=="/>
  </w:docVars>
  <w:rsids>
    <w:rsidRoot w:val="00D67B2A"/>
    <w:rsid w:val="000B1350"/>
    <w:rsid w:val="00153FD2"/>
    <w:rsid w:val="00287A2C"/>
    <w:rsid w:val="002C69FD"/>
    <w:rsid w:val="003063FD"/>
    <w:rsid w:val="004C370C"/>
    <w:rsid w:val="00787D64"/>
    <w:rsid w:val="00D67B2A"/>
    <w:rsid w:val="00F453A2"/>
    <w:rsid w:val="2C46602B"/>
    <w:rsid w:val="4226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spacing w:before="100" w:beforeAutospacing="1" w:after="100" w:afterAutospacing="1"/>
    </w:pPr>
  </w:style>
  <w:style w:type="character" w:styleId="7">
    <w:name w:val="Strong"/>
    <w:basedOn w:val="6"/>
    <w:qFormat/>
    <w:uiPriority w:val="0"/>
    <w:rPr>
      <w:b/>
      <w:bCs/>
    </w:rPr>
  </w:style>
  <w:style w:type="paragraph" w:customStyle="1" w:styleId="8">
    <w:name w:val="msonormal"/>
    <w:basedOn w:val="1"/>
    <w:qFormat/>
    <w:uiPriority w:val="0"/>
    <w:pPr>
      <w:spacing w:before="100" w:beforeAutospacing="1" w:after="100" w:afterAutospacing="1"/>
    </w:pPr>
  </w:style>
  <w:style w:type="character" w:customStyle="1" w:styleId="9">
    <w:name w:val="页眉 字符"/>
    <w:basedOn w:val="6"/>
    <w:link w:val="3"/>
    <w:locked/>
    <w:uiPriority w:val="99"/>
    <w:rPr>
      <w:rFonts w:hint="eastAsia" w:ascii="宋体" w:hAnsi="宋体" w:eastAsia="宋体" w:cs="宋体"/>
      <w:sz w:val="18"/>
      <w:szCs w:val="18"/>
    </w:rPr>
  </w:style>
  <w:style w:type="character" w:customStyle="1" w:styleId="10">
    <w:name w:val="页脚 字符"/>
    <w:basedOn w:val="6"/>
    <w:link w:val="2"/>
    <w:locked/>
    <w:uiPriority w:val="99"/>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2686</Words>
  <Characters>2781</Characters>
  <Lines>22</Lines>
  <Paragraphs>6</Paragraphs>
  <TotalTime>17</TotalTime>
  <ScaleCrop>false</ScaleCrop>
  <LinksUpToDate>false</LinksUpToDate>
  <CharactersWithSpaces>2798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2023-05-15T02:37:00Z</dcterms:created>
  <dc:creator>18584</dc:creator>
  <cp:lastModifiedBy>Administrator</cp:lastModifiedBy>
  <dcterms:modified xsi:type="dcterms:W3CDTF">2023-05-16T02:55:49Z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5B470A85FD6D424387AB5FD8FC16A5B1_12</vt:lpwstr>
  </property>
</Properties>
</file>